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A8" w:rsidRPr="001A40E2" w:rsidRDefault="0061499E" w:rsidP="005E42A8">
      <w:pPr>
        <w:spacing w:after="180"/>
        <w:rPr>
          <w:b/>
          <w:sz w:val="44"/>
          <w:szCs w:val="44"/>
        </w:rPr>
      </w:pPr>
      <w:r w:rsidRPr="0061499E">
        <w:rPr>
          <w:b/>
          <w:sz w:val="44"/>
          <w:szCs w:val="44"/>
        </w:rPr>
        <w:t>Half-life of pizza</w:t>
      </w:r>
    </w:p>
    <w:p w:rsidR="005E42A8" w:rsidRDefault="0061499E" w:rsidP="005E42A8">
      <w:pPr>
        <w:spacing w:after="180"/>
      </w:pPr>
      <w:r w:rsidRPr="0061499E">
        <w:rPr>
          <w:noProof/>
          <w:lang w:eastAsia="en-GB"/>
        </w:rPr>
        <w:drawing>
          <wp:anchor distT="0" distB="0" distL="114300" distR="114300" simplePos="0" relativeHeight="251658240" behindDoc="0" locked="0" layoutInCell="1" allowOverlap="1" wp14:anchorId="53D80822">
            <wp:simplePos x="0" y="0"/>
            <wp:positionH relativeFrom="margin">
              <wp:posOffset>3345180</wp:posOffset>
            </wp:positionH>
            <wp:positionV relativeFrom="paragraph">
              <wp:posOffset>131250</wp:posOffset>
            </wp:positionV>
            <wp:extent cx="2063115" cy="2153920"/>
            <wp:effectExtent l="0" t="0" r="0" b="0"/>
            <wp:wrapNone/>
            <wp:docPr id="51" name="Picture 50">
              <a:extLst xmlns:a="http://schemas.openxmlformats.org/drawingml/2006/main">
                <a:ext uri="{FF2B5EF4-FFF2-40B4-BE49-F238E27FC236}">
                  <a16:creationId xmlns:a16="http://schemas.microsoft.com/office/drawing/2014/main" id="{E734D78F-423F-453A-99C8-1F13B92DBF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0">
                      <a:extLst>
                        <a:ext uri="{FF2B5EF4-FFF2-40B4-BE49-F238E27FC236}">
                          <a16:creationId xmlns:a16="http://schemas.microsoft.com/office/drawing/2014/main" id="{E734D78F-423F-453A-99C8-1F13B92DBF9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63115" cy="2153920"/>
                    </a:xfrm>
                    <a:prstGeom prst="rect">
                      <a:avLst/>
                    </a:prstGeom>
                  </pic:spPr>
                </pic:pic>
              </a:graphicData>
            </a:graphic>
            <wp14:sizeRelH relativeFrom="margin">
              <wp14:pctWidth>0</wp14:pctWidth>
            </wp14:sizeRelH>
            <wp14:sizeRelV relativeFrom="margin">
              <wp14:pctHeight>0</wp14:pctHeight>
            </wp14:sizeRelV>
          </wp:anchor>
        </w:drawing>
      </w:r>
    </w:p>
    <w:p w:rsidR="0061499E" w:rsidRPr="0061499E" w:rsidRDefault="0061499E" w:rsidP="0061499E">
      <w:pPr>
        <w:spacing w:after="180"/>
        <w:ind w:right="4631"/>
      </w:pPr>
      <w:r w:rsidRPr="0061499E">
        <w:t>Some students are using a pizza to explain radioactive half-life.</w:t>
      </w:r>
    </w:p>
    <w:p w:rsidR="00D11153" w:rsidRPr="0061499E" w:rsidRDefault="00846A39" w:rsidP="0061499E">
      <w:pPr>
        <w:numPr>
          <w:ilvl w:val="0"/>
          <w:numId w:val="5"/>
        </w:numPr>
        <w:tabs>
          <w:tab w:val="clear" w:pos="720"/>
          <w:tab w:val="num" w:pos="1276"/>
        </w:tabs>
        <w:spacing w:after="60"/>
        <w:ind w:left="709" w:right="4631" w:hanging="425"/>
      </w:pPr>
      <w:r w:rsidRPr="0061499E">
        <w:t>They cut the pizza in half and eat one half.</w:t>
      </w:r>
    </w:p>
    <w:p w:rsidR="00D11153" w:rsidRPr="0061499E" w:rsidRDefault="00846A39" w:rsidP="0061499E">
      <w:pPr>
        <w:numPr>
          <w:ilvl w:val="0"/>
          <w:numId w:val="5"/>
        </w:numPr>
        <w:tabs>
          <w:tab w:val="clear" w:pos="720"/>
          <w:tab w:val="num" w:pos="1276"/>
        </w:tabs>
        <w:spacing w:after="60"/>
        <w:ind w:left="709" w:right="4631" w:hanging="425"/>
      </w:pPr>
      <w:r w:rsidRPr="0061499E">
        <w:t>Next</w:t>
      </w:r>
      <w:r w:rsidR="0061499E" w:rsidRPr="0061499E">
        <w:t>,</w:t>
      </w:r>
      <w:r w:rsidRPr="0061499E">
        <w:t xml:space="preserve"> they cut the remaining piece in half and eat one half.</w:t>
      </w:r>
    </w:p>
    <w:p w:rsidR="00D11153" w:rsidRPr="0061499E" w:rsidRDefault="00846A39" w:rsidP="0061499E">
      <w:pPr>
        <w:numPr>
          <w:ilvl w:val="0"/>
          <w:numId w:val="5"/>
        </w:numPr>
        <w:tabs>
          <w:tab w:val="clear" w:pos="720"/>
          <w:tab w:val="num" w:pos="1276"/>
        </w:tabs>
        <w:spacing w:after="180"/>
        <w:ind w:left="709" w:right="4631" w:hanging="425"/>
      </w:pPr>
      <w:r w:rsidRPr="0061499E">
        <w:t>They repeat this several more times.</w:t>
      </w:r>
    </w:p>
    <w:p w:rsidR="005E42A8" w:rsidRDefault="005E42A8" w:rsidP="005E42A8">
      <w:pPr>
        <w:spacing w:after="180"/>
      </w:pPr>
    </w:p>
    <w:p w:rsidR="0061499E" w:rsidRDefault="0061499E" w:rsidP="005E42A8">
      <w:pPr>
        <w:spacing w:after="180"/>
        <w:rPr>
          <w:b/>
        </w:rPr>
      </w:pPr>
    </w:p>
    <w:p w:rsidR="005E42A8" w:rsidRPr="003117F6" w:rsidRDefault="005E42A8" w:rsidP="005E42A8">
      <w:pPr>
        <w:spacing w:after="180"/>
        <w:rPr>
          <w:b/>
        </w:rPr>
      </w:pPr>
      <w:r>
        <w:rPr>
          <w:b/>
        </w:rPr>
        <w:t>To answer</w:t>
      </w:r>
    </w:p>
    <w:p w:rsidR="005E42A8" w:rsidRPr="0061499E" w:rsidRDefault="005E42A8" w:rsidP="0061499E">
      <w:pPr>
        <w:pStyle w:val="ListParagraph"/>
        <w:numPr>
          <w:ilvl w:val="0"/>
          <w:numId w:val="7"/>
        </w:numPr>
        <w:spacing w:after="240"/>
        <w:ind w:left="426" w:hanging="426"/>
        <w:rPr>
          <w:bCs/>
        </w:rPr>
      </w:pPr>
      <w:r w:rsidRPr="001E7E8F">
        <w:t xml:space="preserve">State three ways in which this </w:t>
      </w:r>
      <w:r w:rsidRPr="0061499E">
        <w:rPr>
          <w:bCs/>
        </w:rPr>
        <w:t xml:space="preserve">is a </w:t>
      </w:r>
      <w:r w:rsidR="00846A39" w:rsidRPr="0061499E">
        <w:rPr>
          <w:b/>
          <w:bCs/>
        </w:rPr>
        <w:t>good model</w:t>
      </w:r>
      <w:r w:rsidR="00846A39" w:rsidRPr="0061499E">
        <w:rPr>
          <w:bCs/>
        </w:rPr>
        <w:t xml:space="preserve"> for explaining half-life</w:t>
      </w:r>
      <w:r w:rsidRPr="001E7E8F">
        <w:t>.</w:t>
      </w:r>
    </w:p>
    <w:p w:rsidR="005E42A8" w:rsidRDefault="005E42A8" w:rsidP="005E42A8">
      <w:pPr>
        <w:spacing w:after="240"/>
        <w:ind w:left="426"/>
      </w:pPr>
      <w:r>
        <w:t>…………………………………………………………………………………………………………………………………………………….</w:t>
      </w:r>
    </w:p>
    <w:p w:rsidR="005E42A8" w:rsidRPr="001E7E8F" w:rsidRDefault="005E42A8" w:rsidP="005E42A8">
      <w:pPr>
        <w:spacing w:after="240"/>
        <w:ind w:left="426"/>
      </w:pPr>
      <w:r>
        <w:t>…………………………………………………………………………………………………………………………………………………….</w:t>
      </w:r>
    </w:p>
    <w:p w:rsidR="005E42A8" w:rsidRPr="001E7E8F" w:rsidRDefault="005E42A8" w:rsidP="005E42A8">
      <w:pPr>
        <w:spacing w:after="240"/>
        <w:ind w:left="426"/>
      </w:pPr>
      <w:r>
        <w:t>…………………………………………………………………………………………………………………………………………………….</w:t>
      </w:r>
    </w:p>
    <w:p w:rsidR="005E42A8" w:rsidRDefault="005E42A8" w:rsidP="005E42A8">
      <w:pPr>
        <w:spacing w:after="240"/>
        <w:ind w:left="426" w:hanging="426"/>
      </w:pPr>
      <w:r w:rsidRPr="00EB3E17">
        <w:rPr>
          <w:b/>
        </w:rPr>
        <w:t>2.</w:t>
      </w:r>
      <w:r>
        <w:tab/>
      </w:r>
      <w:r w:rsidRPr="001E7E8F">
        <w:t xml:space="preserve">State three ways in which this is </w:t>
      </w:r>
      <w:r w:rsidRPr="0061499E">
        <w:rPr>
          <w:b/>
          <w:bCs/>
        </w:rPr>
        <w:t xml:space="preserve">not an accurate </w:t>
      </w:r>
      <w:r w:rsidR="0061499E" w:rsidRPr="0061499E">
        <w:rPr>
          <w:b/>
          <w:bCs/>
        </w:rPr>
        <w:t>model</w:t>
      </w:r>
      <w:r w:rsidR="0061499E" w:rsidRPr="0061499E">
        <w:rPr>
          <w:bCs/>
        </w:rPr>
        <w:t xml:space="preserve"> for explaining half-life</w:t>
      </w:r>
      <w:r w:rsidRPr="001E7E8F">
        <w:t xml:space="preserve">. </w:t>
      </w:r>
    </w:p>
    <w:p w:rsidR="005E42A8" w:rsidRDefault="005E42A8" w:rsidP="005E42A8">
      <w:pPr>
        <w:spacing w:after="240"/>
        <w:ind w:left="426"/>
      </w:pPr>
      <w:r>
        <w:t>…………………………………………………………………………………………………………………………………………………….</w:t>
      </w:r>
    </w:p>
    <w:p w:rsidR="005E42A8" w:rsidRDefault="005E42A8" w:rsidP="005E42A8">
      <w:pPr>
        <w:spacing w:after="240"/>
        <w:ind w:left="426"/>
      </w:pPr>
      <w:r>
        <w:t>…………………………………………………………………………………………………………………………………………………….</w:t>
      </w:r>
    </w:p>
    <w:p w:rsidR="005E42A8" w:rsidRDefault="005E42A8" w:rsidP="005E42A8">
      <w:pPr>
        <w:spacing w:after="240"/>
        <w:ind w:left="426"/>
      </w:pPr>
      <w:r>
        <w:t>…………………………………………………………………………………………………………………………………………………….</w:t>
      </w:r>
    </w:p>
    <w:p w:rsidR="005E42A8" w:rsidRPr="0061499E" w:rsidRDefault="005E42A8" w:rsidP="0061499E">
      <w:pPr>
        <w:spacing w:after="240"/>
        <w:ind w:left="426" w:hanging="426"/>
      </w:pPr>
      <w:r w:rsidRPr="0061499E">
        <w:rPr>
          <w:b/>
        </w:rPr>
        <w:t>3.</w:t>
      </w:r>
      <w:r w:rsidRPr="0061499E">
        <w:tab/>
      </w:r>
      <w:r w:rsidR="00846A39" w:rsidRPr="0061499E">
        <w:t>Describe how the model could be improved to explain half-life.</w:t>
      </w:r>
    </w:p>
    <w:p w:rsidR="005E42A8" w:rsidRDefault="005E42A8" w:rsidP="005E42A8">
      <w:pPr>
        <w:spacing w:after="240"/>
        <w:ind w:left="426"/>
      </w:pPr>
      <w:r>
        <w:t>…………………………………………………………………………………………………………………………………………………….</w:t>
      </w:r>
    </w:p>
    <w:p w:rsidR="005E42A8" w:rsidRDefault="005E42A8" w:rsidP="005E42A8">
      <w:pPr>
        <w:spacing w:after="240"/>
        <w:ind w:left="426"/>
      </w:pPr>
      <w:r>
        <w:t>…………………………………………………………………………………………………………………………………………………….</w:t>
      </w:r>
    </w:p>
    <w:p w:rsidR="005E42A8" w:rsidRDefault="005E42A8" w:rsidP="005E42A8">
      <w:pPr>
        <w:spacing w:after="240"/>
        <w:ind w:left="426"/>
      </w:pPr>
      <w:r>
        <w:t>…………………………………………………………………………………………………………………………………………………….</w:t>
      </w:r>
    </w:p>
    <w:p w:rsidR="005E42A8" w:rsidRPr="001E7E8F" w:rsidRDefault="005E42A8" w:rsidP="005E42A8">
      <w:pPr>
        <w:spacing w:after="240"/>
        <w:ind w:left="426" w:hanging="426"/>
      </w:pP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DE2945" w:rsidRPr="006F3279" w:rsidRDefault="00DE2945" w:rsidP="00DE2945">
      <w:pPr>
        <w:spacing w:after="240"/>
        <w:rPr>
          <w:i/>
          <w:sz w:val="18"/>
          <w:szCs w:val="18"/>
        </w:rPr>
      </w:pPr>
      <w:r w:rsidRPr="00E90654">
        <w:rPr>
          <w:i/>
          <w:sz w:val="18"/>
          <w:szCs w:val="18"/>
        </w:rPr>
        <w:lastRenderedPageBreak/>
        <w:t>Physics &gt; Big idea PMA: Matter &gt; Topic PMA5: Nuclear physics &gt; Key concept PMA5.4: Radioactive half-life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1499E" w:rsidP="006F3279">
            <w:pPr>
              <w:spacing w:after="60"/>
              <w:ind w:left="1304"/>
              <w:rPr>
                <w:b/>
                <w:sz w:val="40"/>
                <w:szCs w:val="40"/>
              </w:rPr>
            </w:pPr>
            <w:r w:rsidRPr="0061499E">
              <w:rPr>
                <w:b/>
                <w:sz w:val="40"/>
                <w:szCs w:val="40"/>
              </w:rPr>
              <w:t>Half-life of pizza</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E2945" w:rsidTr="003F16F9">
        <w:trPr>
          <w:trHeight w:val="340"/>
        </w:trPr>
        <w:tc>
          <w:tcPr>
            <w:tcW w:w="2196" w:type="dxa"/>
          </w:tcPr>
          <w:p w:rsidR="00DE2945" w:rsidRDefault="00DE2945" w:rsidP="00DE2945">
            <w:pPr>
              <w:spacing w:before="60" w:after="60"/>
            </w:pPr>
            <w:r>
              <w:t>Learning focus:</w:t>
            </w:r>
          </w:p>
        </w:tc>
        <w:tc>
          <w:tcPr>
            <w:tcW w:w="6820" w:type="dxa"/>
          </w:tcPr>
          <w:p w:rsidR="00DE2945" w:rsidRDefault="00DE2945" w:rsidP="00DE2945">
            <w:pPr>
              <w:spacing w:before="60" w:after="60"/>
            </w:pPr>
            <w:r w:rsidRPr="00E90654">
              <w:t>Radioactive half-life is the predicted time it takes for half of a large sample of radioactive nuclei to decay randomly.</w:t>
            </w:r>
          </w:p>
        </w:tc>
      </w:tr>
      <w:tr w:rsidR="00DE2945" w:rsidTr="003F16F9">
        <w:trPr>
          <w:trHeight w:val="340"/>
        </w:trPr>
        <w:tc>
          <w:tcPr>
            <w:tcW w:w="2196" w:type="dxa"/>
          </w:tcPr>
          <w:p w:rsidR="00DE2945" w:rsidRDefault="00DE2945" w:rsidP="00DE2945">
            <w:pPr>
              <w:spacing w:before="60" w:after="60"/>
            </w:pPr>
            <w:r>
              <w:t>Observable learning outcome:</w:t>
            </w:r>
          </w:p>
        </w:tc>
        <w:tc>
          <w:tcPr>
            <w:tcW w:w="6820" w:type="dxa"/>
          </w:tcPr>
          <w:p w:rsidR="004E1832" w:rsidRDefault="004E1832" w:rsidP="00DE2945">
            <w:pPr>
              <w:spacing w:before="60" w:after="60"/>
              <w:rPr>
                <w:rFonts w:cstheme="minorHAnsi"/>
                <w:szCs w:val="20"/>
              </w:rPr>
            </w:pPr>
            <w:r w:rsidRPr="004E1832">
              <w:rPr>
                <w:rFonts w:cstheme="minorHAnsi"/>
                <w:szCs w:val="20"/>
              </w:rPr>
              <w:t>Describe the decay of a radioactive material.</w:t>
            </w:r>
          </w:p>
          <w:p w:rsidR="004E1832" w:rsidRDefault="004E1832" w:rsidP="00DE2945">
            <w:pPr>
              <w:spacing w:before="60" w:after="60"/>
              <w:rPr>
                <w:rFonts w:cstheme="minorHAnsi"/>
                <w:szCs w:val="20"/>
              </w:rPr>
            </w:pPr>
            <w:r w:rsidRPr="004E1832">
              <w:rPr>
                <w:rFonts w:cstheme="minorHAnsi"/>
                <w:szCs w:val="20"/>
              </w:rPr>
              <w:t>Describe patterns in the random nature of radioactive decay and interpret radioactive half-life graphs.</w:t>
            </w:r>
          </w:p>
          <w:p w:rsidR="00DE2945" w:rsidRPr="00902B25" w:rsidRDefault="00DE2945" w:rsidP="00DE2945">
            <w:pPr>
              <w:spacing w:before="60" w:after="60"/>
              <w:rPr>
                <w:b/>
              </w:rPr>
            </w:pPr>
            <w:r w:rsidRPr="006A78D3">
              <w:rPr>
                <w:rFonts w:cstheme="minorHAnsi"/>
                <w:szCs w:val="20"/>
              </w:rPr>
              <w:t>Make calculations using values of half-life.</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5E42A8"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D42F8" w:rsidP="00755E81">
            <w:pPr>
              <w:spacing w:before="60" w:after="60"/>
            </w:pPr>
            <w:r w:rsidRPr="00AD42F8">
              <w:t xml:space="preserve">Radioactive half-life, radioactive atoms, </w:t>
            </w:r>
            <w:r w:rsidR="00846A39">
              <w:t xml:space="preserve">radioactive material, </w:t>
            </w:r>
            <w:r w:rsidRPr="00AD42F8">
              <w:t>radioactive decay</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w:t>
      </w:r>
      <w:r w:rsidR="00DE2945">
        <w:rPr>
          <w:rFonts w:cstheme="minorHAnsi"/>
          <w:color w:val="222222"/>
          <w:shd w:val="clear" w:color="auto" w:fill="FFFFFF"/>
        </w:rPr>
        <w:t>ons:</w:t>
      </w:r>
    </w:p>
    <w:p w:rsidR="00B00348" w:rsidRPr="004E1832" w:rsidRDefault="00B00348" w:rsidP="00B00348">
      <w:pPr>
        <w:pStyle w:val="ListParagraph"/>
        <w:numPr>
          <w:ilvl w:val="0"/>
          <w:numId w:val="1"/>
        </w:numPr>
        <w:spacing w:after="180"/>
      </w:pPr>
      <w:r w:rsidRPr="004E1832">
        <w:t xml:space="preserve">Diagnostic </w:t>
      </w:r>
      <w:r w:rsidR="00BA75D4" w:rsidRPr="004E1832">
        <w:t>question</w:t>
      </w:r>
      <w:r w:rsidRPr="004E1832">
        <w:t xml:space="preserve">: </w:t>
      </w:r>
      <w:r w:rsidR="004E1832" w:rsidRPr="004E1832">
        <w:t>Radioactive material</w:t>
      </w:r>
    </w:p>
    <w:p w:rsidR="004E1832" w:rsidRDefault="004E1832" w:rsidP="00B00348">
      <w:pPr>
        <w:pStyle w:val="ListParagraph"/>
        <w:numPr>
          <w:ilvl w:val="0"/>
          <w:numId w:val="1"/>
        </w:numPr>
        <w:spacing w:after="180"/>
      </w:pPr>
      <w:r>
        <w:t>Diagnostic question: Radioactive half-life</w:t>
      </w:r>
    </w:p>
    <w:p w:rsidR="004E1832" w:rsidRDefault="004E1832" w:rsidP="00B00348">
      <w:pPr>
        <w:pStyle w:val="ListParagraph"/>
        <w:numPr>
          <w:ilvl w:val="0"/>
          <w:numId w:val="1"/>
        </w:numPr>
        <w:spacing w:after="180"/>
      </w:pPr>
      <w:r>
        <w:t>Diagnostic question: Radioactive half-life graph</w:t>
      </w:r>
    </w:p>
    <w:p w:rsidR="004E1832" w:rsidRDefault="004E1832" w:rsidP="00B00348">
      <w:pPr>
        <w:pStyle w:val="ListParagraph"/>
        <w:numPr>
          <w:ilvl w:val="0"/>
          <w:numId w:val="1"/>
        </w:numPr>
        <w:spacing w:after="180"/>
      </w:pPr>
      <w:r>
        <w:t>Diagnostic question: Predicting radioactivity</w:t>
      </w:r>
    </w:p>
    <w:p w:rsidR="00340724" w:rsidRPr="00A6111E" w:rsidRDefault="00340724" w:rsidP="00B00348">
      <w:pPr>
        <w:pStyle w:val="ListParagraph"/>
        <w:numPr>
          <w:ilvl w:val="0"/>
          <w:numId w:val="1"/>
        </w:numPr>
        <w:spacing w:after="180"/>
      </w:pPr>
      <w:r>
        <w:t>Diagnostic question: Carbon dating</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E1832" w:rsidRDefault="004E1832" w:rsidP="004E1832">
      <w:pPr>
        <w:spacing w:after="60"/>
      </w:pPr>
      <w:r>
        <w:t>Misunderstandings that may stem from a thinking that ‘only clearly determined events can lead to predictable outcomes’ are:</w:t>
      </w:r>
    </w:p>
    <w:p w:rsidR="004E1832" w:rsidRDefault="004E1832" w:rsidP="004E1832">
      <w:pPr>
        <w:pStyle w:val="ListParagraph"/>
        <w:numPr>
          <w:ilvl w:val="0"/>
          <w:numId w:val="9"/>
        </w:numPr>
        <w:spacing w:after="180"/>
        <w:ind w:left="567" w:hanging="425"/>
      </w:pPr>
      <w:r>
        <w:t xml:space="preserve">a radioactive material will be safe and no longer radioactive after one half-life </w:t>
      </w:r>
      <w:r>
        <w:fldChar w:fldCharType="begin"/>
      </w:r>
      <w:r>
        <w:instrText xml:space="preserve"> ADDIN EN.CITE &lt;EndNote&gt;&lt;Cite&gt;&lt;Author&gt;Lijnse&lt;/Author&gt;&lt;Year&gt;1990&lt;/Year&gt;&lt;IDText&gt;Pupils&amp;apos; and mass-media ideas about radioactivity&lt;/IDText&gt;&lt;DisplayText&gt;(Lijnse et al., 1990)&lt;/DisplayText&gt;&lt;record&gt;&lt;titles&gt;&lt;title&gt;Pupils&amp;apos; and mass-media ideas about radioactivity&lt;/title&gt;&lt;secondary-title&gt;International Journal of Science Education&lt;/secondary-title&gt;&lt;/titles&gt;&lt;contributors&gt;&lt;authors&gt;&lt;author&gt;Lijnse, P. L&lt;/author&gt;&lt;author&gt;Eijkelhof, H. M. C&lt;/author&gt;&lt;author&gt;Klaassen, C. W. J. M&lt;/author&gt;&lt;author&gt;Scholte, R. L. J&lt;/author&gt;&lt;/authors&gt;&lt;/contributors&gt;&lt;section&gt;67-78&lt;/section&gt;&lt;added-date format="utc"&gt;1641981686&lt;/added-date&gt;&lt;ref-type name="Journal Article"&gt;17&lt;/ref-type&gt;&lt;dates&gt;&lt;year&gt;1990&lt;/year&gt;&lt;/dates&gt;&lt;rec-number&gt;377&lt;/rec-number&gt;&lt;last-updated-date format="utc"&gt;1641981857&lt;/last-updated-date&gt;&lt;volume&gt;12.1&lt;/volume&gt;&lt;/record&gt;&lt;/Cite&gt;&lt;/EndNote&gt;</w:instrText>
      </w:r>
      <w:r>
        <w:fldChar w:fldCharType="separate"/>
      </w:r>
      <w:r>
        <w:rPr>
          <w:noProof/>
        </w:rPr>
        <w:t>(Lijnse et al., 1990)</w:t>
      </w:r>
      <w:r>
        <w:fldChar w:fldCharType="end"/>
      </w:r>
      <w:r>
        <w:t>;</w:t>
      </w:r>
    </w:p>
    <w:p w:rsidR="004E1832" w:rsidRDefault="004E1832" w:rsidP="004E1832">
      <w:pPr>
        <w:pStyle w:val="ListParagraph"/>
        <w:numPr>
          <w:ilvl w:val="0"/>
          <w:numId w:val="9"/>
        </w:numPr>
        <w:spacing w:after="180"/>
        <w:ind w:left="567" w:hanging="425"/>
      </w:pPr>
      <w:r w:rsidRPr="00576EE0">
        <w:rPr>
          <w:i/>
        </w:rPr>
        <w:t>all</w:t>
      </w:r>
      <w:r>
        <w:t xml:space="preserve"> the radioactive atoms will have decayed after one half-life (or after </w:t>
      </w:r>
      <w:r w:rsidRPr="00576EE0">
        <w:rPr>
          <w:i/>
        </w:rPr>
        <w:t>two</w:t>
      </w:r>
      <w:r>
        <w:t xml:space="preserve"> half-lives); and </w:t>
      </w:r>
    </w:p>
    <w:p w:rsidR="004E1832" w:rsidRDefault="004E1832" w:rsidP="004E1832">
      <w:pPr>
        <w:pStyle w:val="ListParagraph"/>
        <w:numPr>
          <w:ilvl w:val="0"/>
          <w:numId w:val="9"/>
        </w:numPr>
        <w:spacing w:after="180"/>
        <w:ind w:left="567" w:hanging="425"/>
      </w:pPr>
      <w:r>
        <w:t xml:space="preserve">half-life is a special time before which, or at which, a particular nucleus decays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w:t>
      </w:r>
    </w:p>
    <w:p w:rsidR="004E1832" w:rsidRDefault="004E1832" w:rsidP="004E1832">
      <w:pPr>
        <w:spacing w:after="180"/>
      </w:pPr>
      <w:r>
        <w:t xml:space="preserve">In each of these examples, students appear to have used the idea that ‘half-life’ is predictable, to develop a misunderstanding that the decay of particular radioactive atoms is also predictable. The last example additionally shows how some students (about a third of a sample of 55 students age 13-14) ascribe the predictive nature of a whole sample to a single radioactive nucleus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xml:space="preserve">. In fact, an individual radioactive nucleus does not have a half-life and its decay is random. Half-life is instead, a </w:t>
      </w:r>
      <w:r>
        <w:rPr>
          <w:i/>
        </w:rPr>
        <w:t>good predictor</w:t>
      </w:r>
      <w:r>
        <w:t xml:space="preserve"> of the time it takes for half of a sample of </w:t>
      </w:r>
      <w:r>
        <w:rPr>
          <w:i/>
        </w:rPr>
        <w:t>very many</w:t>
      </w:r>
      <w:r>
        <w:t xml:space="preserve"> radioactive nuclei to decay. </w:t>
      </w:r>
    </w:p>
    <w:p w:rsidR="004E1832" w:rsidRDefault="004E1832" w:rsidP="004E1832">
      <w:pPr>
        <w:spacing w:after="180"/>
      </w:pPr>
      <w:r>
        <w:t xml:space="preserve">Another misunderstanding students have is that atoms disappear during radioactive decay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format="utc"&gt;1631520571&lt;/last-updated-date&gt;&lt;volume&gt;53(4)&lt;/volume&gt;&lt;/record&gt;&lt;/Cite&gt;&lt;Cite&gt;&lt;Author&gt;Prather&lt;/Author&gt;&lt;Year&gt;2005&lt;/Year&gt;&lt;IDText&gt;Students&amp;apos; beliefs about the role of atoms in radioactive decay and half-life&lt;/IDText&gt;&lt;record&gt;&lt;titles&gt;&lt;title&gt;Students&amp;apos;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t xml:space="preserve">.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the majority (59%) of (n=258) undergraduate students believed that the mass or volume of a radioactive substance would reduce by half during one half-life. Expressed differently, this means that a radioactive object disappears as it decays. This misunderstanding is likely to stem from the fact that is not clear to a lot of students that radioactive materials contain both stable and unstable atoms.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5E42A8" w:rsidRDefault="005E42A8" w:rsidP="005E42A8">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5E42A8" w:rsidRDefault="005E42A8" w:rsidP="005E42A8">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5E42A8" w:rsidRDefault="005E42A8" w:rsidP="005E42A8">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5E42A8" w:rsidRDefault="005E42A8" w:rsidP="005E42A8">
      <w:pPr>
        <w:spacing w:after="180"/>
      </w:pPr>
      <w:r>
        <w:t>Ending with the students completing the worksheet or questions from the PowerPoint individually, might help them to consolidate their learning.</w:t>
      </w:r>
    </w:p>
    <w:p w:rsidR="005E42A8" w:rsidRPr="00E7124B" w:rsidRDefault="005E42A8" w:rsidP="005E42A8">
      <w:pPr>
        <w:spacing w:after="180"/>
        <w:rPr>
          <w:i/>
        </w:rPr>
      </w:pPr>
      <w:r w:rsidRPr="00E7124B">
        <w:rPr>
          <w:i/>
        </w:rPr>
        <w:t>Differentiation</w:t>
      </w:r>
    </w:p>
    <w:p w:rsidR="005E42A8" w:rsidRPr="000947E2" w:rsidRDefault="005E42A8" w:rsidP="004E1832">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FF5F20" w:rsidRPr="00FF5F20" w:rsidRDefault="009C6795" w:rsidP="00FF5F20">
      <w:pPr>
        <w:spacing w:after="60"/>
        <w:ind w:left="425" w:hanging="426"/>
        <w:rPr>
          <w:b/>
        </w:rPr>
      </w:pPr>
      <w:r w:rsidRPr="00FF5F20">
        <w:rPr>
          <w:b/>
        </w:rPr>
        <w:t>1.</w:t>
      </w:r>
      <w:r w:rsidRPr="00FF5F20">
        <w:rPr>
          <w:b/>
        </w:rPr>
        <w:tab/>
      </w:r>
      <w:r w:rsidR="00FF5F20" w:rsidRPr="00FF5F20">
        <w:rPr>
          <w:b/>
        </w:rPr>
        <w:t>Why this is a good model for explaining half-life:</w:t>
      </w:r>
    </w:p>
    <w:p w:rsidR="00B00348" w:rsidRDefault="009C6795" w:rsidP="00FF5F20">
      <w:pPr>
        <w:spacing w:after="60"/>
        <w:ind w:left="425"/>
      </w:pPr>
      <w:r>
        <w:t>The remaining portion of the pizza is the same as the proportion of radioactive nuclei that have not undergone radioactive decay.</w:t>
      </w:r>
    </w:p>
    <w:p w:rsidR="009C6795" w:rsidRDefault="009C6795" w:rsidP="00FF5F20">
      <w:pPr>
        <w:spacing w:after="60"/>
        <w:ind w:left="425" w:hanging="426"/>
      </w:pPr>
      <w:r>
        <w:tab/>
        <w:t>The portion of the pizza that is eaten represents the proportion of radioactive nuclei that have undergone radioactive decay.</w:t>
      </w:r>
    </w:p>
    <w:p w:rsidR="009C6795" w:rsidRDefault="009C6795" w:rsidP="00FF5F20">
      <w:pPr>
        <w:spacing w:after="60"/>
        <w:ind w:left="425" w:hanging="426"/>
      </w:pPr>
      <w:r>
        <w:tab/>
        <w:t>The pizza that has been eaten has not disappeared, it has changed into chewed up food</w:t>
      </w:r>
      <w:r w:rsidR="00FF5F20">
        <w:t>.</w:t>
      </w:r>
    </w:p>
    <w:p w:rsidR="00FF5F20" w:rsidRDefault="00FF5F20" w:rsidP="00FF5F20">
      <w:pPr>
        <w:spacing w:after="180"/>
        <w:ind w:left="426" w:hanging="426"/>
      </w:pPr>
      <w:r>
        <w:tab/>
        <w:t>If the time taken for students to cut and eat the pizza each time is always the same, then each repeat represents one half-life.</w:t>
      </w:r>
    </w:p>
    <w:p w:rsidR="00FF5F20" w:rsidRPr="00FF5F20" w:rsidRDefault="00FF5F20" w:rsidP="00FF5F20">
      <w:pPr>
        <w:spacing w:after="60"/>
        <w:ind w:left="426" w:hanging="426"/>
        <w:rPr>
          <w:b/>
        </w:rPr>
      </w:pPr>
      <w:r w:rsidRPr="00FF5F20">
        <w:rPr>
          <w:b/>
        </w:rPr>
        <w:t>2.</w:t>
      </w:r>
      <w:r w:rsidRPr="00FF5F20">
        <w:rPr>
          <w:b/>
        </w:rPr>
        <w:tab/>
        <w:t>Why this is not an accurate model for explaining half-life:</w:t>
      </w:r>
    </w:p>
    <w:p w:rsidR="00FF5F20" w:rsidRDefault="00FF5F20" w:rsidP="00FF5F20">
      <w:pPr>
        <w:spacing w:after="60"/>
        <w:ind w:left="425" w:hanging="425"/>
      </w:pPr>
      <w:r>
        <w:tab/>
        <w:t>When radioactive atoms decay, the (often new</w:t>
      </w:r>
      <w:r w:rsidR="00BE67F4">
        <w:t xml:space="preserve"> types of</w:t>
      </w:r>
      <w:r>
        <w:t>) atoms that remain have not moved out of the radioactive material.</w:t>
      </w:r>
    </w:p>
    <w:p w:rsidR="00FF5F20" w:rsidRDefault="00FF5F20" w:rsidP="00FF5F20">
      <w:pPr>
        <w:spacing w:after="60"/>
        <w:ind w:left="425"/>
      </w:pPr>
      <w:r>
        <w:t xml:space="preserve">Radioactive atoms decay randomly throughout a radioactive material and not </w:t>
      </w:r>
      <w:r w:rsidR="00BE67F4">
        <w:t xml:space="preserve">all those in </w:t>
      </w:r>
      <w:r>
        <w:t>one half at a time.</w:t>
      </w:r>
    </w:p>
    <w:p w:rsidR="00FF5F20" w:rsidRDefault="00FF5F20" w:rsidP="00FF5F20">
      <w:pPr>
        <w:spacing w:after="60"/>
        <w:ind w:left="425" w:hanging="425"/>
      </w:pPr>
      <w:r>
        <w:tab/>
        <w:t xml:space="preserve">The size and mass of the radioactive material remains (almost exactly) the same </w:t>
      </w:r>
      <w:r w:rsidR="00BE67F4">
        <w:t xml:space="preserve">during the time </w:t>
      </w:r>
      <w:r>
        <w:t xml:space="preserve">the radioactive atoms </w:t>
      </w:r>
      <w:r w:rsidR="00BE67F4">
        <w:t xml:space="preserve">are </w:t>
      </w:r>
      <w:r>
        <w:t>decay</w:t>
      </w:r>
      <w:r w:rsidR="00BE67F4">
        <w:t>ing</w:t>
      </w:r>
      <w:r>
        <w:t>.</w:t>
      </w:r>
    </w:p>
    <w:p w:rsidR="00FF5F20" w:rsidRDefault="00FF5F20" w:rsidP="00292929">
      <w:pPr>
        <w:spacing w:after="180"/>
        <w:ind w:left="425" w:hanging="425"/>
      </w:pPr>
      <w:r>
        <w:tab/>
        <w:t>The time it takes for each half to be eaten, and to decay, is likely to get less and less as more of the pizza is eaten.</w:t>
      </w:r>
    </w:p>
    <w:p w:rsidR="00292929" w:rsidRPr="00292929" w:rsidRDefault="00292929" w:rsidP="00292929">
      <w:pPr>
        <w:spacing w:after="60"/>
        <w:ind w:left="425" w:hanging="425"/>
        <w:rPr>
          <w:b/>
        </w:rPr>
      </w:pPr>
      <w:r w:rsidRPr="00292929">
        <w:rPr>
          <w:b/>
        </w:rPr>
        <w:t>3.</w:t>
      </w:r>
      <w:r w:rsidRPr="00292929">
        <w:rPr>
          <w:b/>
        </w:rPr>
        <w:tab/>
        <w:t>To improve the model:</w:t>
      </w:r>
    </w:p>
    <w:p w:rsidR="00292929" w:rsidRDefault="00292929" w:rsidP="00292929">
      <w:pPr>
        <w:spacing w:after="60"/>
        <w:ind w:left="425"/>
      </w:pPr>
      <w:r>
        <w:t>Each portion of the pizza could be replaced by an equal sized portion of a different type of pizza. This represents how the ‘radioactive atoms’ are replaced by different, more stable atoms (for alpha and beta decay).</w:t>
      </w:r>
    </w:p>
    <w:p w:rsidR="00FF5F20" w:rsidRDefault="00FF5F20" w:rsidP="00292929">
      <w:pPr>
        <w:spacing w:after="60"/>
        <w:ind w:left="425" w:hanging="425"/>
      </w:pPr>
      <w:r>
        <w:tab/>
      </w:r>
      <w:r w:rsidR="00292929">
        <w:t>Rather than half of the whole pizza being replaced, half of each quarter could be replaced an</w:t>
      </w:r>
      <w:r w:rsidR="0063442F">
        <w:t xml:space="preserve">d so on. This better represents how </w:t>
      </w:r>
      <w:r w:rsidR="00292929">
        <w:t>radioa</w:t>
      </w:r>
      <w:r w:rsidR="0063442F">
        <w:t>ctive atoms</w:t>
      </w:r>
      <w:r w:rsidR="00292929">
        <w:t xml:space="preserve"> decay randomly throughout the whole pizza.</w:t>
      </w:r>
    </w:p>
    <w:p w:rsidR="00292929" w:rsidRDefault="00292929" w:rsidP="00292929">
      <w:pPr>
        <w:spacing w:after="60"/>
        <w:ind w:left="425" w:hanging="425"/>
      </w:pPr>
      <w:r>
        <w:tab/>
        <w:t>A timer could be used to time each cutting and halving of the ‘radioactive atoms’ in the pizza, so that the time for them to half is always the same (one half-life).</w:t>
      </w:r>
    </w:p>
    <w:p w:rsidR="00292929" w:rsidRDefault="00292929" w:rsidP="0063442F">
      <w:pPr>
        <w:spacing w:after="60"/>
        <w:ind w:left="425" w:hanging="425"/>
      </w:pPr>
      <w:r>
        <w:tab/>
        <w:t>Different types of pizza could be used, each one with a different length of half-life.</w:t>
      </w:r>
    </w:p>
    <w:p w:rsidR="00292929" w:rsidRDefault="00292929" w:rsidP="00292929">
      <w:pPr>
        <w:spacing w:after="180"/>
        <w:ind w:left="425" w:hanging="425"/>
      </w:pPr>
      <w:r>
        <w:tab/>
        <w:t>Some garlic bread could be placed on one side to represent background radiation.</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4E1832">
        <w:t>.</w:t>
      </w:r>
    </w:p>
    <w:p w:rsidR="004E1832" w:rsidRPr="004E1832" w:rsidRDefault="00D278E8" w:rsidP="004E1832">
      <w:pPr>
        <w:spacing w:after="180"/>
      </w:pPr>
      <w:r w:rsidRPr="0045323E">
        <w:t xml:space="preserve">Images: </w:t>
      </w:r>
      <w:r w:rsidR="00356308">
        <w:t>Peter Fairhurst (UYSEG)</w:t>
      </w:r>
      <w:r w:rsidR="004E1832">
        <w:t xml:space="preserve"> with the original image of </w:t>
      </w:r>
      <w:r w:rsidR="004E1832" w:rsidRPr="004E1832">
        <w:t xml:space="preserve">a pizza by </w:t>
      </w:r>
      <w:proofErr w:type="spellStart"/>
      <w:r w:rsidR="004E1832" w:rsidRPr="004E1832">
        <w:rPr>
          <w:iCs/>
        </w:rPr>
        <w:t>petrovhey</w:t>
      </w:r>
      <w:proofErr w:type="spellEnd"/>
      <w:r w:rsidR="004E1832" w:rsidRPr="004E1832">
        <w:rPr>
          <w:iCs/>
        </w:rPr>
        <w:t xml:space="preserve"> from </w:t>
      </w:r>
      <w:proofErr w:type="spellStart"/>
      <w:r w:rsidR="004E1832" w:rsidRPr="004E1832">
        <w:rPr>
          <w:iCs/>
        </w:rPr>
        <w:t>Pixabay</w:t>
      </w:r>
      <w:proofErr w:type="spellEnd"/>
      <w:r w:rsidR="004E1832" w:rsidRPr="004E1832">
        <w:rPr>
          <w:iCs/>
        </w:rPr>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E1832" w:rsidRPr="004E1832" w:rsidRDefault="004E1832" w:rsidP="004E1832">
      <w:pPr>
        <w:pStyle w:val="EndNoteBibliography"/>
        <w:spacing w:after="120"/>
        <w:ind w:left="425" w:hanging="425"/>
      </w:pPr>
      <w:r>
        <w:fldChar w:fldCharType="begin"/>
      </w:r>
      <w:r>
        <w:instrText xml:space="preserve"> ADDIN EN.REFLIST </w:instrText>
      </w:r>
      <w:r>
        <w:fldChar w:fldCharType="separate"/>
      </w:r>
      <w:r w:rsidRPr="004E1832">
        <w:t xml:space="preserve">Hull, M. M. and Hopf, M. (2020). Student Understanding of Emergent Aspects of Radioactivity. </w:t>
      </w:r>
      <w:r w:rsidRPr="004E1832">
        <w:rPr>
          <w:i/>
        </w:rPr>
        <w:t>International Journal of Physics and Chemistry Education,</w:t>
      </w:r>
      <w:r w:rsidRPr="004E1832">
        <w:t xml:space="preserve"> 12(2).</w:t>
      </w:r>
    </w:p>
    <w:p w:rsidR="004E1832" w:rsidRPr="004E1832" w:rsidRDefault="004E1832" w:rsidP="004E1832">
      <w:pPr>
        <w:pStyle w:val="EndNoteBibliography"/>
        <w:spacing w:after="120"/>
        <w:ind w:left="425" w:hanging="425"/>
      </w:pPr>
      <w:r w:rsidRPr="004E1832">
        <w:t xml:space="preserve">Lijnse, P. L., et al. (1990). Pupils' and mass-media ideas about radioactivity. </w:t>
      </w:r>
      <w:r w:rsidRPr="004E1832">
        <w:rPr>
          <w:i/>
        </w:rPr>
        <w:t>International Journal of Science Education,</w:t>
      </w:r>
      <w:r w:rsidRPr="004E1832">
        <w:t xml:space="preserve"> 12.1.</w:t>
      </w:r>
    </w:p>
    <w:p w:rsidR="004E1832" w:rsidRPr="004E1832" w:rsidRDefault="004E1832" w:rsidP="004E1832">
      <w:pPr>
        <w:pStyle w:val="EndNoteBibliography"/>
        <w:spacing w:after="120"/>
        <w:ind w:left="425" w:hanging="425"/>
      </w:pPr>
      <w:r w:rsidRPr="004E1832">
        <w:t xml:space="preserve">Prather, E. (2005). Students' beliefs about the role of atoms in radioactive decay and half-life. </w:t>
      </w:r>
      <w:r w:rsidRPr="004E1832">
        <w:rPr>
          <w:i/>
        </w:rPr>
        <w:t>Journal of Geoscience Education,</w:t>
      </w:r>
      <w:r w:rsidRPr="004E1832">
        <w:t xml:space="preserve"> 53(4)</w:t>
      </w:r>
      <w:r w:rsidRPr="004E1832">
        <w:rPr>
          <w:b/>
        </w:rPr>
        <w:t>,</w:t>
      </w:r>
      <w:r w:rsidRPr="004E1832">
        <w:t xml:space="preserve"> 345-354.</w:t>
      </w:r>
    </w:p>
    <w:p w:rsidR="007E4771" w:rsidRPr="007E4771" w:rsidRDefault="004E1832" w:rsidP="004E1832">
      <w:pPr>
        <w:spacing w:after="120"/>
        <w:ind w:left="425" w:hanging="425"/>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99E" w:rsidRDefault="0061499E" w:rsidP="000B473B">
      <w:r>
        <w:separator/>
      </w:r>
    </w:p>
  </w:endnote>
  <w:endnote w:type="continuationSeparator" w:id="0">
    <w:p w:rsidR="0061499E" w:rsidRDefault="0061499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D08DE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63442F">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99E" w:rsidRDefault="0061499E" w:rsidP="000B473B">
      <w:r>
        <w:separator/>
      </w:r>
    </w:p>
  </w:footnote>
  <w:footnote w:type="continuationSeparator" w:id="0">
    <w:p w:rsidR="0061499E" w:rsidRDefault="0061499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4DFD6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C6147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1C5A"/>
    <w:multiLevelType w:val="hybridMultilevel"/>
    <w:tmpl w:val="D7EC2BCE"/>
    <w:lvl w:ilvl="0" w:tplc="F1ACF912">
      <w:start w:val="1"/>
      <w:numFmt w:val="decimal"/>
      <w:lvlText w:val="%1."/>
      <w:lvlJc w:val="left"/>
      <w:pPr>
        <w:tabs>
          <w:tab w:val="num" w:pos="720"/>
        </w:tabs>
        <w:ind w:left="720" w:hanging="360"/>
      </w:pPr>
    </w:lvl>
    <w:lvl w:ilvl="1" w:tplc="AD6A50BE" w:tentative="1">
      <w:start w:val="1"/>
      <w:numFmt w:val="decimal"/>
      <w:lvlText w:val="%2."/>
      <w:lvlJc w:val="left"/>
      <w:pPr>
        <w:tabs>
          <w:tab w:val="num" w:pos="1440"/>
        </w:tabs>
        <w:ind w:left="1440" w:hanging="360"/>
      </w:pPr>
    </w:lvl>
    <w:lvl w:ilvl="2" w:tplc="FF2AA8DC" w:tentative="1">
      <w:start w:val="1"/>
      <w:numFmt w:val="decimal"/>
      <w:lvlText w:val="%3."/>
      <w:lvlJc w:val="left"/>
      <w:pPr>
        <w:tabs>
          <w:tab w:val="num" w:pos="2160"/>
        </w:tabs>
        <w:ind w:left="2160" w:hanging="360"/>
      </w:pPr>
    </w:lvl>
    <w:lvl w:ilvl="3" w:tplc="97B80684" w:tentative="1">
      <w:start w:val="1"/>
      <w:numFmt w:val="decimal"/>
      <w:lvlText w:val="%4."/>
      <w:lvlJc w:val="left"/>
      <w:pPr>
        <w:tabs>
          <w:tab w:val="num" w:pos="2880"/>
        </w:tabs>
        <w:ind w:left="2880" w:hanging="360"/>
      </w:pPr>
    </w:lvl>
    <w:lvl w:ilvl="4" w:tplc="31BC5400" w:tentative="1">
      <w:start w:val="1"/>
      <w:numFmt w:val="decimal"/>
      <w:lvlText w:val="%5."/>
      <w:lvlJc w:val="left"/>
      <w:pPr>
        <w:tabs>
          <w:tab w:val="num" w:pos="3600"/>
        </w:tabs>
        <w:ind w:left="3600" w:hanging="360"/>
      </w:pPr>
    </w:lvl>
    <w:lvl w:ilvl="5" w:tplc="061EFC48" w:tentative="1">
      <w:start w:val="1"/>
      <w:numFmt w:val="decimal"/>
      <w:lvlText w:val="%6."/>
      <w:lvlJc w:val="left"/>
      <w:pPr>
        <w:tabs>
          <w:tab w:val="num" w:pos="4320"/>
        </w:tabs>
        <w:ind w:left="4320" w:hanging="360"/>
      </w:pPr>
    </w:lvl>
    <w:lvl w:ilvl="6" w:tplc="FE268C42" w:tentative="1">
      <w:start w:val="1"/>
      <w:numFmt w:val="decimal"/>
      <w:lvlText w:val="%7."/>
      <w:lvlJc w:val="left"/>
      <w:pPr>
        <w:tabs>
          <w:tab w:val="num" w:pos="5040"/>
        </w:tabs>
        <w:ind w:left="5040" w:hanging="360"/>
      </w:pPr>
    </w:lvl>
    <w:lvl w:ilvl="7" w:tplc="4DFACF5E" w:tentative="1">
      <w:start w:val="1"/>
      <w:numFmt w:val="decimal"/>
      <w:lvlText w:val="%8."/>
      <w:lvlJc w:val="left"/>
      <w:pPr>
        <w:tabs>
          <w:tab w:val="num" w:pos="5760"/>
        </w:tabs>
        <w:ind w:left="5760" w:hanging="360"/>
      </w:pPr>
    </w:lvl>
    <w:lvl w:ilvl="8" w:tplc="060E8108" w:tentative="1">
      <w:start w:val="1"/>
      <w:numFmt w:val="decimal"/>
      <w:lvlText w:val="%9."/>
      <w:lvlJc w:val="left"/>
      <w:pPr>
        <w:tabs>
          <w:tab w:val="num" w:pos="6480"/>
        </w:tabs>
        <w:ind w:left="6480" w:hanging="360"/>
      </w:pPr>
    </w:lvl>
  </w:abstractNum>
  <w:abstractNum w:abstractNumId="1" w15:restartNumberingAfterBreak="0">
    <w:nsid w:val="15B7361D"/>
    <w:multiLevelType w:val="hybridMultilevel"/>
    <w:tmpl w:val="C116F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87C19F8"/>
    <w:multiLevelType w:val="hybridMultilevel"/>
    <w:tmpl w:val="BA8CFCAA"/>
    <w:lvl w:ilvl="0" w:tplc="9B42AA5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423E68"/>
    <w:multiLevelType w:val="hybridMultilevel"/>
    <w:tmpl w:val="ADAADB02"/>
    <w:lvl w:ilvl="0" w:tplc="91444FAA">
      <w:start w:val="1"/>
      <w:numFmt w:val="bullet"/>
      <w:lvlText w:val="•"/>
      <w:lvlJc w:val="left"/>
      <w:pPr>
        <w:tabs>
          <w:tab w:val="num" w:pos="720"/>
        </w:tabs>
        <w:ind w:left="720" w:hanging="360"/>
      </w:pPr>
      <w:rPr>
        <w:rFonts w:ascii="Arial" w:hAnsi="Arial" w:hint="default"/>
      </w:rPr>
    </w:lvl>
    <w:lvl w:ilvl="1" w:tplc="A29A78A4" w:tentative="1">
      <w:start w:val="1"/>
      <w:numFmt w:val="bullet"/>
      <w:lvlText w:val="•"/>
      <w:lvlJc w:val="left"/>
      <w:pPr>
        <w:tabs>
          <w:tab w:val="num" w:pos="1440"/>
        </w:tabs>
        <w:ind w:left="1440" w:hanging="360"/>
      </w:pPr>
      <w:rPr>
        <w:rFonts w:ascii="Arial" w:hAnsi="Arial" w:hint="default"/>
      </w:rPr>
    </w:lvl>
    <w:lvl w:ilvl="2" w:tplc="D012DC8A" w:tentative="1">
      <w:start w:val="1"/>
      <w:numFmt w:val="bullet"/>
      <w:lvlText w:val="•"/>
      <w:lvlJc w:val="left"/>
      <w:pPr>
        <w:tabs>
          <w:tab w:val="num" w:pos="2160"/>
        </w:tabs>
        <w:ind w:left="2160" w:hanging="360"/>
      </w:pPr>
      <w:rPr>
        <w:rFonts w:ascii="Arial" w:hAnsi="Arial" w:hint="default"/>
      </w:rPr>
    </w:lvl>
    <w:lvl w:ilvl="3" w:tplc="17545E32" w:tentative="1">
      <w:start w:val="1"/>
      <w:numFmt w:val="bullet"/>
      <w:lvlText w:val="•"/>
      <w:lvlJc w:val="left"/>
      <w:pPr>
        <w:tabs>
          <w:tab w:val="num" w:pos="2880"/>
        </w:tabs>
        <w:ind w:left="2880" w:hanging="360"/>
      </w:pPr>
      <w:rPr>
        <w:rFonts w:ascii="Arial" w:hAnsi="Arial" w:hint="default"/>
      </w:rPr>
    </w:lvl>
    <w:lvl w:ilvl="4" w:tplc="FD08C72E" w:tentative="1">
      <w:start w:val="1"/>
      <w:numFmt w:val="bullet"/>
      <w:lvlText w:val="•"/>
      <w:lvlJc w:val="left"/>
      <w:pPr>
        <w:tabs>
          <w:tab w:val="num" w:pos="3600"/>
        </w:tabs>
        <w:ind w:left="3600" w:hanging="360"/>
      </w:pPr>
      <w:rPr>
        <w:rFonts w:ascii="Arial" w:hAnsi="Arial" w:hint="default"/>
      </w:rPr>
    </w:lvl>
    <w:lvl w:ilvl="5" w:tplc="D2F6A4D0" w:tentative="1">
      <w:start w:val="1"/>
      <w:numFmt w:val="bullet"/>
      <w:lvlText w:val="•"/>
      <w:lvlJc w:val="left"/>
      <w:pPr>
        <w:tabs>
          <w:tab w:val="num" w:pos="4320"/>
        </w:tabs>
        <w:ind w:left="4320" w:hanging="360"/>
      </w:pPr>
      <w:rPr>
        <w:rFonts w:ascii="Arial" w:hAnsi="Arial" w:hint="default"/>
      </w:rPr>
    </w:lvl>
    <w:lvl w:ilvl="6" w:tplc="38F8ECB4" w:tentative="1">
      <w:start w:val="1"/>
      <w:numFmt w:val="bullet"/>
      <w:lvlText w:val="•"/>
      <w:lvlJc w:val="left"/>
      <w:pPr>
        <w:tabs>
          <w:tab w:val="num" w:pos="5040"/>
        </w:tabs>
        <w:ind w:left="5040" w:hanging="360"/>
      </w:pPr>
      <w:rPr>
        <w:rFonts w:ascii="Arial" w:hAnsi="Arial" w:hint="default"/>
      </w:rPr>
    </w:lvl>
    <w:lvl w:ilvl="7" w:tplc="5D2E1E90" w:tentative="1">
      <w:start w:val="1"/>
      <w:numFmt w:val="bullet"/>
      <w:lvlText w:val="•"/>
      <w:lvlJc w:val="left"/>
      <w:pPr>
        <w:tabs>
          <w:tab w:val="num" w:pos="5760"/>
        </w:tabs>
        <w:ind w:left="5760" w:hanging="360"/>
      </w:pPr>
      <w:rPr>
        <w:rFonts w:ascii="Arial" w:hAnsi="Arial" w:hint="default"/>
      </w:rPr>
    </w:lvl>
    <w:lvl w:ilvl="8" w:tplc="F23456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5D18D6"/>
    <w:multiLevelType w:val="hybridMultilevel"/>
    <w:tmpl w:val="19A63E7A"/>
    <w:lvl w:ilvl="0" w:tplc="1C1EEE70">
      <w:start w:val="1"/>
      <w:numFmt w:val="decimal"/>
      <w:lvlText w:val="%1."/>
      <w:lvlJc w:val="left"/>
      <w:pPr>
        <w:tabs>
          <w:tab w:val="num" w:pos="720"/>
        </w:tabs>
        <w:ind w:left="720" w:hanging="360"/>
      </w:pPr>
    </w:lvl>
    <w:lvl w:ilvl="1" w:tplc="D40A409C" w:tentative="1">
      <w:start w:val="1"/>
      <w:numFmt w:val="decimal"/>
      <w:lvlText w:val="%2."/>
      <w:lvlJc w:val="left"/>
      <w:pPr>
        <w:tabs>
          <w:tab w:val="num" w:pos="1440"/>
        </w:tabs>
        <w:ind w:left="1440" w:hanging="360"/>
      </w:pPr>
    </w:lvl>
    <w:lvl w:ilvl="2" w:tplc="197895A8" w:tentative="1">
      <w:start w:val="1"/>
      <w:numFmt w:val="decimal"/>
      <w:lvlText w:val="%3."/>
      <w:lvlJc w:val="left"/>
      <w:pPr>
        <w:tabs>
          <w:tab w:val="num" w:pos="2160"/>
        </w:tabs>
        <w:ind w:left="2160" w:hanging="360"/>
      </w:pPr>
    </w:lvl>
    <w:lvl w:ilvl="3" w:tplc="DB8C20C2" w:tentative="1">
      <w:start w:val="1"/>
      <w:numFmt w:val="decimal"/>
      <w:lvlText w:val="%4."/>
      <w:lvlJc w:val="left"/>
      <w:pPr>
        <w:tabs>
          <w:tab w:val="num" w:pos="2880"/>
        </w:tabs>
        <w:ind w:left="2880" w:hanging="360"/>
      </w:pPr>
    </w:lvl>
    <w:lvl w:ilvl="4" w:tplc="F3FCA26C" w:tentative="1">
      <w:start w:val="1"/>
      <w:numFmt w:val="decimal"/>
      <w:lvlText w:val="%5."/>
      <w:lvlJc w:val="left"/>
      <w:pPr>
        <w:tabs>
          <w:tab w:val="num" w:pos="3600"/>
        </w:tabs>
        <w:ind w:left="3600" w:hanging="360"/>
      </w:pPr>
    </w:lvl>
    <w:lvl w:ilvl="5" w:tplc="88FE0E46" w:tentative="1">
      <w:start w:val="1"/>
      <w:numFmt w:val="decimal"/>
      <w:lvlText w:val="%6."/>
      <w:lvlJc w:val="left"/>
      <w:pPr>
        <w:tabs>
          <w:tab w:val="num" w:pos="4320"/>
        </w:tabs>
        <w:ind w:left="4320" w:hanging="360"/>
      </w:pPr>
    </w:lvl>
    <w:lvl w:ilvl="6" w:tplc="04BCEE72" w:tentative="1">
      <w:start w:val="1"/>
      <w:numFmt w:val="decimal"/>
      <w:lvlText w:val="%7."/>
      <w:lvlJc w:val="left"/>
      <w:pPr>
        <w:tabs>
          <w:tab w:val="num" w:pos="5040"/>
        </w:tabs>
        <w:ind w:left="5040" w:hanging="360"/>
      </w:pPr>
    </w:lvl>
    <w:lvl w:ilvl="7" w:tplc="1FD45180" w:tentative="1">
      <w:start w:val="1"/>
      <w:numFmt w:val="decimal"/>
      <w:lvlText w:val="%8."/>
      <w:lvlJc w:val="left"/>
      <w:pPr>
        <w:tabs>
          <w:tab w:val="num" w:pos="5760"/>
        </w:tabs>
        <w:ind w:left="5760" w:hanging="360"/>
      </w:pPr>
    </w:lvl>
    <w:lvl w:ilvl="8" w:tplc="FBE2A096" w:tentative="1">
      <w:start w:val="1"/>
      <w:numFmt w:val="decimal"/>
      <w:lvlText w:val="%9."/>
      <w:lvlJc w:val="left"/>
      <w:pPr>
        <w:tabs>
          <w:tab w:val="num" w:pos="6480"/>
        </w:tabs>
        <w:ind w:left="6480" w:hanging="360"/>
      </w:pPr>
    </w:lvl>
  </w:abstractNum>
  <w:abstractNum w:abstractNumId="8" w15:restartNumberingAfterBreak="0">
    <w:nsid w:val="6028215E"/>
    <w:multiLevelType w:val="hybridMultilevel"/>
    <w:tmpl w:val="7C8EB9C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3"/>
  </w:num>
  <w:num w:numId="5">
    <w:abstractNumId w:val="5"/>
  </w:num>
  <w:num w:numId="6">
    <w:abstractNumId w:val="0"/>
  </w:num>
  <w:num w:numId="7">
    <w:abstractNumId w:val="4"/>
  </w:num>
  <w:num w:numId="8">
    <w:abstractNumId w:val="7"/>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1499E"/>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929"/>
    <w:rsid w:val="00292C53"/>
    <w:rsid w:val="00294E22"/>
    <w:rsid w:val="002A08F2"/>
    <w:rsid w:val="002C22EA"/>
    <w:rsid w:val="002C59BA"/>
    <w:rsid w:val="002F41B2"/>
    <w:rsid w:val="00301AA9"/>
    <w:rsid w:val="003117F6"/>
    <w:rsid w:val="00340724"/>
    <w:rsid w:val="003533B8"/>
    <w:rsid w:val="00356308"/>
    <w:rsid w:val="003752BE"/>
    <w:rsid w:val="003A346A"/>
    <w:rsid w:val="003B2917"/>
    <w:rsid w:val="003B541B"/>
    <w:rsid w:val="003E2B2F"/>
    <w:rsid w:val="003E6046"/>
    <w:rsid w:val="003F16F9"/>
    <w:rsid w:val="00430C1F"/>
    <w:rsid w:val="00435DEE"/>
    <w:rsid w:val="00442595"/>
    <w:rsid w:val="0045323E"/>
    <w:rsid w:val="0048726C"/>
    <w:rsid w:val="004B0EE1"/>
    <w:rsid w:val="004D0D83"/>
    <w:rsid w:val="004E1832"/>
    <w:rsid w:val="004E1DF1"/>
    <w:rsid w:val="004E5592"/>
    <w:rsid w:val="0050055B"/>
    <w:rsid w:val="00524710"/>
    <w:rsid w:val="00555342"/>
    <w:rsid w:val="005560E2"/>
    <w:rsid w:val="005A452E"/>
    <w:rsid w:val="005A6EE7"/>
    <w:rsid w:val="005E07F2"/>
    <w:rsid w:val="005E42A8"/>
    <w:rsid w:val="005F1A7B"/>
    <w:rsid w:val="0061499E"/>
    <w:rsid w:val="0063442F"/>
    <w:rsid w:val="006355D8"/>
    <w:rsid w:val="00642ECD"/>
    <w:rsid w:val="006502A0"/>
    <w:rsid w:val="006772F5"/>
    <w:rsid w:val="006A4440"/>
    <w:rsid w:val="006B0615"/>
    <w:rsid w:val="006C207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46A39"/>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C6795"/>
    <w:rsid w:val="009E0D11"/>
    <w:rsid w:val="00A24A16"/>
    <w:rsid w:val="00A37D14"/>
    <w:rsid w:val="00A6111E"/>
    <w:rsid w:val="00A6168B"/>
    <w:rsid w:val="00A62028"/>
    <w:rsid w:val="00AA6236"/>
    <w:rsid w:val="00AB6AE7"/>
    <w:rsid w:val="00AD21F5"/>
    <w:rsid w:val="00AD42F8"/>
    <w:rsid w:val="00B00348"/>
    <w:rsid w:val="00B06225"/>
    <w:rsid w:val="00B23B31"/>
    <w:rsid w:val="00B23C7A"/>
    <w:rsid w:val="00B26756"/>
    <w:rsid w:val="00B305F5"/>
    <w:rsid w:val="00B46FF9"/>
    <w:rsid w:val="00B75483"/>
    <w:rsid w:val="00BA75D4"/>
    <w:rsid w:val="00BA7952"/>
    <w:rsid w:val="00BB44B4"/>
    <w:rsid w:val="00BE67F4"/>
    <w:rsid w:val="00BF0BBF"/>
    <w:rsid w:val="00BF6C8A"/>
    <w:rsid w:val="00C05571"/>
    <w:rsid w:val="00C1190E"/>
    <w:rsid w:val="00C246CE"/>
    <w:rsid w:val="00C57FA2"/>
    <w:rsid w:val="00CC2E4D"/>
    <w:rsid w:val="00CC78A5"/>
    <w:rsid w:val="00CC7B16"/>
    <w:rsid w:val="00CE15FE"/>
    <w:rsid w:val="00D02E15"/>
    <w:rsid w:val="00D11153"/>
    <w:rsid w:val="00D14F44"/>
    <w:rsid w:val="00D278E8"/>
    <w:rsid w:val="00D421E8"/>
    <w:rsid w:val="00D44604"/>
    <w:rsid w:val="00D479B3"/>
    <w:rsid w:val="00D52283"/>
    <w:rsid w:val="00D524E5"/>
    <w:rsid w:val="00D72FEF"/>
    <w:rsid w:val="00D755FA"/>
    <w:rsid w:val="00DC4A4E"/>
    <w:rsid w:val="00DD1874"/>
    <w:rsid w:val="00DD63BD"/>
    <w:rsid w:val="00DE2945"/>
    <w:rsid w:val="00DF14E9"/>
    <w:rsid w:val="00E0092B"/>
    <w:rsid w:val="00E172C6"/>
    <w:rsid w:val="00E24309"/>
    <w:rsid w:val="00E53D82"/>
    <w:rsid w:val="00E548AF"/>
    <w:rsid w:val="00E9330A"/>
    <w:rsid w:val="00EE6B97"/>
    <w:rsid w:val="00F12C3B"/>
    <w:rsid w:val="00F26884"/>
    <w:rsid w:val="00F72ECC"/>
    <w:rsid w:val="00F8355F"/>
    <w:rsid w:val="00F86F84"/>
    <w:rsid w:val="00FA1F0E"/>
    <w:rsid w:val="00FA3196"/>
    <w:rsid w:val="00FE296F"/>
    <w:rsid w:val="00FF5F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E48037"/>
  <w15:docId w15:val="{7DA18F19-0218-4390-9082-8A4E511E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E183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E1832"/>
    <w:rPr>
      <w:rFonts w:ascii="Calibri" w:hAnsi="Calibri" w:cs="Calibri"/>
      <w:noProof/>
      <w:lang w:val="en-US"/>
    </w:rPr>
  </w:style>
  <w:style w:type="paragraph" w:customStyle="1" w:styleId="EndNoteBibliography">
    <w:name w:val="EndNote Bibliography"/>
    <w:basedOn w:val="Normal"/>
    <w:link w:val="EndNoteBibliographyChar"/>
    <w:rsid w:val="004E1832"/>
    <w:rPr>
      <w:rFonts w:ascii="Calibri" w:hAnsi="Calibri" w:cs="Calibri"/>
      <w:noProof/>
      <w:lang w:val="en-US"/>
    </w:rPr>
  </w:style>
  <w:style w:type="character" w:customStyle="1" w:styleId="EndNoteBibliographyChar">
    <w:name w:val="EndNote Bibliography Char"/>
    <w:basedOn w:val="DefaultParagraphFont"/>
    <w:link w:val="EndNoteBibliography"/>
    <w:rsid w:val="004E183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273258">
      <w:bodyDiv w:val="1"/>
      <w:marLeft w:val="0"/>
      <w:marRight w:val="0"/>
      <w:marTop w:val="0"/>
      <w:marBottom w:val="0"/>
      <w:divBdr>
        <w:top w:val="none" w:sz="0" w:space="0" w:color="auto"/>
        <w:left w:val="none" w:sz="0" w:space="0" w:color="auto"/>
        <w:bottom w:val="none" w:sz="0" w:space="0" w:color="auto"/>
        <w:right w:val="none" w:sz="0" w:space="0" w:color="auto"/>
      </w:divBdr>
      <w:divsChild>
        <w:div w:id="108669051">
          <w:marLeft w:val="446"/>
          <w:marRight w:val="0"/>
          <w:marTop w:val="0"/>
          <w:marBottom w:val="0"/>
          <w:divBdr>
            <w:top w:val="none" w:sz="0" w:space="0" w:color="auto"/>
            <w:left w:val="none" w:sz="0" w:space="0" w:color="auto"/>
            <w:bottom w:val="none" w:sz="0" w:space="0" w:color="auto"/>
            <w:right w:val="none" w:sz="0" w:space="0" w:color="auto"/>
          </w:divBdr>
        </w:div>
        <w:div w:id="955719687">
          <w:marLeft w:val="446"/>
          <w:marRight w:val="0"/>
          <w:marTop w:val="0"/>
          <w:marBottom w:val="0"/>
          <w:divBdr>
            <w:top w:val="none" w:sz="0" w:space="0" w:color="auto"/>
            <w:left w:val="none" w:sz="0" w:space="0" w:color="auto"/>
            <w:bottom w:val="none" w:sz="0" w:space="0" w:color="auto"/>
            <w:right w:val="none" w:sz="0" w:space="0" w:color="auto"/>
          </w:divBdr>
        </w:div>
        <w:div w:id="127284959">
          <w:marLeft w:val="446"/>
          <w:marRight w:val="0"/>
          <w:marTop w:val="0"/>
          <w:marBottom w:val="0"/>
          <w:divBdr>
            <w:top w:val="none" w:sz="0" w:space="0" w:color="auto"/>
            <w:left w:val="none" w:sz="0" w:space="0" w:color="auto"/>
            <w:bottom w:val="none" w:sz="0" w:space="0" w:color="auto"/>
            <w:right w:val="none" w:sz="0" w:space="0" w:color="auto"/>
          </w:divBdr>
        </w:div>
      </w:divsChild>
    </w:div>
    <w:div w:id="654794781">
      <w:bodyDiv w:val="1"/>
      <w:marLeft w:val="0"/>
      <w:marRight w:val="0"/>
      <w:marTop w:val="0"/>
      <w:marBottom w:val="0"/>
      <w:divBdr>
        <w:top w:val="none" w:sz="0" w:space="0" w:color="auto"/>
        <w:left w:val="none" w:sz="0" w:space="0" w:color="auto"/>
        <w:bottom w:val="none" w:sz="0" w:space="0" w:color="auto"/>
        <w:right w:val="none" w:sz="0" w:space="0" w:color="auto"/>
      </w:divBdr>
    </w:div>
    <w:div w:id="919368835">
      <w:bodyDiv w:val="1"/>
      <w:marLeft w:val="0"/>
      <w:marRight w:val="0"/>
      <w:marTop w:val="0"/>
      <w:marBottom w:val="0"/>
      <w:divBdr>
        <w:top w:val="none" w:sz="0" w:space="0" w:color="auto"/>
        <w:left w:val="none" w:sz="0" w:space="0" w:color="auto"/>
        <w:bottom w:val="none" w:sz="0" w:space="0" w:color="auto"/>
        <w:right w:val="none" w:sz="0" w:space="0" w:color="auto"/>
      </w:divBdr>
      <w:divsChild>
        <w:div w:id="1694574429">
          <w:marLeft w:val="547"/>
          <w:marRight w:val="0"/>
          <w:marTop w:val="0"/>
          <w:marBottom w:val="180"/>
          <w:divBdr>
            <w:top w:val="none" w:sz="0" w:space="0" w:color="auto"/>
            <w:left w:val="none" w:sz="0" w:space="0" w:color="auto"/>
            <w:bottom w:val="none" w:sz="0" w:space="0" w:color="auto"/>
            <w:right w:val="none" w:sz="0" w:space="0" w:color="auto"/>
          </w:divBdr>
        </w:div>
      </w:divsChild>
    </w:div>
    <w:div w:id="990599888">
      <w:bodyDiv w:val="1"/>
      <w:marLeft w:val="0"/>
      <w:marRight w:val="0"/>
      <w:marTop w:val="0"/>
      <w:marBottom w:val="0"/>
      <w:divBdr>
        <w:top w:val="none" w:sz="0" w:space="0" w:color="auto"/>
        <w:left w:val="none" w:sz="0" w:space="0" w:color="auto"/>
        <w:bottom w:val="none" w:sz="0" w:space="0" w:color="auto"/>
        <w:right w:val="none" w:sz="0" w:space="0" w:color="auto"/>
      </w:divBdr>
      <w:divsChild>
        <w:div w:id="1881671228">
          <w:marLeft w:val="547"/>
          <w:marRight w:val="0"/>
          <w:marTop w:val="0"/>
          <w:marBottom w:val="180"/>
          <w:divBdr>
            <w:top w:val="none" w:sz="0" w:space="0" w:color="auto"/>
            <w:left w:val="none" w:sz="0" w:space="0" w:color="auto"/>
            <w:bottom w:val="none" w:sz="0" w:space="0" w:color="auto"/>
            <w:right w:val="none" w:sz="0" w:space="0" w:color="auto"/>
          </w:divBdr>
        </w:div>
      </w:divsChild>
    </w:div>
    <w:div w:id="1385638101">
      <w:bodyDiv w:val="1"/>
      <w:marLeft w:val="0"/>
      <w:marRight w:val="0"/>
      <w:marTop w:val="0"/>
      <w:marBottom w:val="0"/>
      <w:divBdr>
        <w:top w:val="none" w:sz="0" w:space="0" w:color="auto"/>
        <w:left w:val="none" w:sz="0" w:space="0" w:color="auto"/>
        <w:bottom w:val="none" w:sz="0" w:space="0" w:color="auto"/>
        <w:right w:val="none" w:sz="0" w:space="0" w:color="auto"/>
      </w:divBdr>
      <w:divsChild>
        <w:div w:id="1430277741">
          <w:marLeft w:val="547"/>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BEST_Template_R_Critiquing a representation.dotx</Template>
  <TotalTime>43</TotalTime>
  <Pages>4</Pages>
  <Words>1785</Words>
  <Characters>10181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8</cp:revision>
  <cp:lastPrinted>2017-02-24T16:20:00Z</cp:lastPrinted>
  <dcterms:created xsi:type="dcterms:W3CDTF">2022-02-08T09:41:00Z</dcterms:created>
  <dcterms:modified xsi:type="dcterms:W3CDTF">2022-02-09T11:46:00Z</dcterms:modified>
</cp:coreProperties>
</file>